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2E83">
      <w:pPr>
        <w:widowControl/>
        <w:spacing w:line="360" w:lineRule="atLeast"/>
        <w:jc w:val="left"/>
        <w:rPr>
          <w:rFonts w:ascii="宋体" w:hAnsi="宋体" w:cs="宋体"/>
          <w:b/>
          <w:bCs/>
          <w:kern w:val="0"/>
          <w:sz w:val="29"/>
          <w:szCs w:val="29"/>
        </w:rPr>
      </w:pPr>
      <w:r>
        <w:drawing>
          <wp:inline distT="0" distB="0" distL="114300" distR="114300">
            <wp:extent cx="1339215" cy="1689735"/>
            <wp:effectExtent l="0" t="0" r="1905" b="190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00CCA">
      <w:pPr>
        <w:pStyle w:val="4"/>
        <w:shd w:val="clear" w:color="auto" w:fill="FBFBFB"/>
        <w:spacing w:before="150" w:beforeAutospacing="0" w:after="150" w:afterAutospacing="0" w:line="435" w:lineRule="atLeast"/>
        <w:jc w:val="both"/>
        <w:rPr>
          <w:rFonts w:ascii="微软雅黑" w:hAnsi="微软雅黑" w:eastAsia="微软雅黑"/>
          <w:color w:val="666666"/>
        </w:rPr>
      </w:pPr>
      <w:r>
        <w:rPr>
          <w:rFonts w:hint="eastAsia" w:ascii="微软雅黑" w:hAnsi="微软雅黑" w:eastAsia="微软雅黑"/>
          <w:color w:val="666666"/>
        </w:rPr>
        <w:t>副教授、博士生导师</w:t>
      </w:r>
    </w:p>
    <w:p w14:paraId="776779DF">
      <w:pPr>
        <w:pStyle w:val="4"/>
        <w:shd w:val="clear" w:color="auto" w:fill="FBFBFB"/>
        <w:spacing w:before="150" w:beforeAutospacing="0" w:after="150" w:afterAutospacing="0" w:line="435" w:lineRule="atLeast"/>
        <w:jc w:val="both"/>
        <w:rPr>
          <w:rFonts w:ascii="微软雅黑" w:hAnsi="微软雅黑" w:eastAsia="微软雅黑"/>
          <w:color w:val="666666"/>
        </w:rPr>
      </w:pPr>
      <w:r>
        <w:rPr>
          <w:rFonts w:hint="eastAsia" w:ascii="微软雅黑" w:hAnsi="微软雅黑" w:eastAsia="微软雅黑"/>
          <w:color w:val="666666"/>
        </w:rPr>
        <w:t>上海国际知识产权学院</w:t>
      </w:r>
    </w:p>
    <w:p w14:paraId="57BB4DB5">
      <w:pPr>
        <w:pStyle w:val="4"/>
        <w:shd w:val="clear" w:color="auto" w:fill="FBFBFB"/>
        <w:spacing w:before="150" w:beforeAutospacing="0" w:after="150" w:afterAutospacing="0" w:line="435" w:lineRule="atLeast"/>
        <w:jc w:val="both"/>
        <w:rPr>
          <w:rFonts w:ascii="微软雅黑" w:hAnsi="微软雅黑" w:eastAsia="微软雅黑"/>
          <w:color w:val="666666"/>
        </w:rPr>
      </w:pPr>
      <w:r>
        <w:rPr>
          <w:rFonts w:hint="eastAsia" w:ascii="微软雅黑" w:hAnsi="微软雅黑" w:eastAsia="微软雅黑"/>
          <w:color w:val="666666"/>
        </w:rPr>
        <w:t>yanghong@tongji.edu.cn</w:t>
      </w:r>
    </w:p>
    <w:p w14:paraId="47A0EF98">
      <w:pPr>
        <w:pStyle w:val="4"/>
        <w:shd w:val="clear" w:color="auto" w:fill="FBFBFB"/>
        <w:spacing w:before="150" w:beforeAutospacing="0" w:after="150" w:afterAutospacing="0" w:line="435" w:lineRule="atLeast"/>
        <w:jc w:val="both"/>
        <w:rPr>
          <w:rFonts w:ascii="微软雅黑" w:hAnsi="微软雅黑" w:eastAsia="微软雅黑"/>
          <w:color w:val="666666"/>
        </w:rPr>
      </w:pPr>
      <w:r>
        <w:fldChar w:fldCharType="begin"/>
      </w:r>
      <w:r>
        <w:instrText xml:space="preserve"> HYPERLINK "https://sicip.tongji.edu.cn/_upload/article/files/a2/e9/d4547a394e8aa79fd6e94bc6d808/32d3d3e3-a5ed-44f2-a7ef-c56fda372cc9.doc"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color w:val="0E419C"/>
        </w:rPr>
        <w:t>点击下载简历</w:t>
      </w:r>
      <w:r>
        <w:rPr>
          <w:rStyle w:val="7"/>
          <w:rFonts w:hint="eastAsia" w:ascii="微软雅黑" w:hAnsi="微软雅黑" w:eastAsia="微软雅黑"/>
          <w:color w:val="0E419C"/>
        </w:rPr>
        <w:fldChar w:fldCharType="end"/>
      </w:r>
    </w:p>
    <w:p w14:paraId="04148811">
      <w:pPr>
        <w:widowControl/>
        <w:spacing w:line="360" w:lineRule="atLeast"/>
        <w:jc w:val="left"/>
        <w:rPr>
          <w:rFonts w:ascii="宋体" w:hAnsi="宋体" w:cs="宋体"/>
          <w:b/>
          <w:bCs/>
          <w:kern w:val="0"/>
          <w:sz w:val="29"/>
          <w:szCs w:val="29"/>
        </w:rPr>
      </w:pPr>
    </w:p>
    <w:p w14:paraId="22B4B298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9"/>
          <w:szCs w:val="29"/>
        </w:rPr>
        <w:t>教育经历</w:t>
      </w:r>
    </w:p>
    <w:p w14:paraId="09343076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2006</w:t>
      </w:r>
      <w:r>
        <w:rPr>
          <w:rFonts w:hint="eastAsia" w:ascii="宋体" w:hAnsi="宋体" w:cs="宋体"/>
          <w:kern w:val="0"/>
          <w:sz w:val="24"/>
          <w:szCs w:val="24"/>
        </w:rPr>
        <w:t>/9</w:t>
      </w:r>
      <w:r>
        <w:rPr>
          <w:rFonts w:ascii="Times New Roman" w:hAnsi="Times New Roman"/>
          <w:kern w:val="0"/>
          <w:sz w:val="24"/>
          <w:szCs w:val="24"/>
        </w:rPr>
        <w:t>-20</w:t>
      </w:r>
      <w:r>
        <w:rPr>
          <w:rFonts w:hint="eastAsia" w:ascii="宋体" w:hAnsi="宋体" w:cs="宋体"/>
          <w:kern w:val="0"/>
          <w:sz w:val="24"/>
          <w:szCs w:val="24"/>
        </w:rPr>
        <w:t>10/6，华东政法大学，国际法学（国际知识产权法），法学博士</w:t>
      </w:r>
    </w:p>
    <w:p w14:paraId="3233DE08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2003</w:t>
      </w:r>
      <w:r>
        <w:rPr>
          <w:rFonts w:hint="eastAsia" w:ascii="宋体" w:hAnsi="宋体" w:cs="宋体"/>
          <w:kern w:val="0"/>
          <w:sz w:val="24"/>
          <w:szCs w:val="24"/>
        </w:rPr>
        <w:t>/9</w:t>
      </w:r>
      <w:r>
        <w:rPr>
          <w:rFonts w:ascii="Times New Roman" w:hAnsi="Times New Roman"/>
          <w:kern w:val="0"/>
          <w:sz w:val="24"/>
          <w:szCs w:val="24"/>
        </w:rPr>
        <w:t>-2006</w:t>
      </w:r>
      <w:r>
        <w:rPr>
          <w:rFonts w:hint="eastAsia" w:ascii="宋体" w:hAnsi="宋体" w:cs="宋体"/>
          <w:kern w:val="0"/>
          <w:sz w:val="24"/>
          <w:szCs w:val="24"/>
        </w:rPr>
        <w:t>/6，华东政法学院，国际法学（国际知识产权法），法学硕士</w:t>
      </w:r>
    </w:p>
    <w:p w14:paraId="0AD9B778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1999</w:t>
      </w:r>
      <w:r>
        <w:rPr>
          <w:rFonts w:hint="eastAsia" w:ascii="宋体" w:hAnsi="宋体" w:cs="宋体"/>
          <w:kern w:val="0"/>
          <w:sz w:val="24"/>
          <w:szCs w:val="24"/>
        </w:rPr>
        <w:t>/9</w:t>
      </w:r>
      <w:r>
        <w:rPr>
          <w:rFonts w:ascii="Times New Roman" w:hAnsi="Times New Roman"/>
          <w:kern w:val="0"/>
          <w:sz w:val="24"/>
          <w:szCs w:val="24"/>
        </w:rPr>
        <w:t>-2003</w:t>
      </w:r>
      <w:r>
        <w:rPr>
          <w:rFonts w:hint="eastAsia" w:ascii="宋体" w:hAnsi="宋体" w:cs="宋体"/>
          <w:kern w:val="0"/>
          <w:sz w:val="24"/>
          <w:szCs w:val="24"/>
        </w:rPr>
        <w:t>/6，上海外国语大学，对外汉语，文学学士</w:t>
      </w:r>
    </w:p>
    <w:p w14:paraId="5D6032E9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2000</w:t>
      </w:r>
      <w:r>
        <w:rPr>
          <w:rFonts w:hint="eastAsia" w:ascii="宋体" w:hAnsi="宋体" w:cs="宋体"/>
          <w:kern w:val="0"/>
          <w:sz w:val="24"/>
          <w:szCs w:val="24"/>
        </w:rPr>
        <w:t>/9</w:t>
      </w:r>
      <w:r>
        <w:rPr>
          <w:rFonts w:ascii="Times New Roman" w:hAnsi="Times New Roman"/>
          <w:kern w:val="0"/>
          <w:sz w:val="24"/>
          <w:szCs w:val="24"/>
        </w:rPr>
        <w:t>-2002</w:t>
      </w:r>
      <w:r>
        <w:rPr>
          <w:rFonts w:hint="eastAsia" w:ascii="宋体" w:hAnsi="宋体" w:cs="宋体"/>
          <w:kern w:val="0"/>
          <w:sz w:val="24"/>
          <w:szCs w:val="24"/>
        </w:rPr>
        <w:t>/6，复旦大学，法学，本科辅修学历</w:t>
      </w:r>
    </w:p>
    <w:p w14:paraId="4E8DF6F3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9"/>
          <w:szCs w:val="29"/>
        </w:rPr>
        <w:t>研究方向</w:t>
      </w:r>
    </w:p>
    <w:p w14:paraId="3747AE1B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知识产权法、国际知识产权保护、数据保护与安全</w:t>
      </w:r>
    </w:p>
    <w:p w14:paraId="53EF15E1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9"/>
          <w:szCs w:val="29"/>
        </w:rPr>
        <w:t>主要工作经历</w:t>
      </w:r>
    </w:p>
    <w:p w14:paraId="16272AF0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2018/4-今，同济大学上海国际知识产权学院，副教授</w:t>
      </w:r>
    </w:p>
    <w:p w14:paraId="77A6F6A0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2008/12-2018/3，上海对外经贸大学法学院，讲师、副教授</w:t>
      </w:r>
    </w:p>
    <w:p w14:paraId="5B50563A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2006/6-2008/11，上海对外经贸大学</w:t>
      </w:r>
      <w:r>
        <w:rPr>
          <w:rFonts w:ascii="Times New Roman" w:hAnsi="Times New Roman"/>
          <w:kern w:val="0"/>
          <w:sz w:val="24"/>
          <w:szCs w:val="24"/>
        </w:rPr>
        <w:t>WTO</w:t>
      </w:r>
      <w:r>
        <w:rPr>
          <w:rFonts w:hint="eastAsia" w:ascii="宋体" w:hAnsi="宋体" w:cs="宋体"/>
          <w:kern w:val="0"/>
          <w:sz w:val="24"/>
          <w:szCs w:val="24"/>
        </w:rPr>
        <w:t>学院，助教</w:t>
      </w:r>
    </w:p>
    <w:p w14:paraId="3408E3E2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9"/>
          <w:szCs w:val="29"/>
        </w:rPr>
        <w:t>教学课程</w:t>
      </w:r>
    </w:p>
    <w:p w14:paraId="541B35C2">
      <w:pPr>
        <w:widowControl/>
        <w:spacing w:line="360" w:lineRule="atLeast"/>
        <w:ind w:left="360" w:hanging="3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1．主讲课程：</w:t>
      </w:r>
    </w:p>
    <w:p w14:paraId="32EA3975">
      <w:pPr>
        <w:widowControl/>
        <w:spacing w:line="36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国际私法与知识产权（WIPO-Tongji项目知识产权硕士，英文）；知识产权国际保护（法学硕士，英文）；知识产权法专题（法学硕士）；知识产权（本科公选）；国际法（法律硕士）；国际知识产权法（本科）；</w:t>
      </w:r>
    </w:p>
    <w:p w14:paraId="5EAAF925">
      <w:pPr>
        <w:widowControl/>
        <w:spacing w:line="360" w:lineRule="atLeast"/>
        <w:ind w:left="360" w:hanging="3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2．其他教学经历：</w:t>
      </w:r>
    </w:p>
    <w:p w14:paraId="6024F0C2">
      <w:pPr>
        <w:widowControl/>
        <w:spacing w:line="36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世界知识产权组织第一届（2015）</w:t>
      </w:r>
      <w:r>
        <w:rPr>
          <w:rFonts w:ascii="Times New Roman" w:hAnsi="Times New Roman"/>
          <w:kern w:val="0"/>
          <w:sz w:val="24"/>
          <w:szCs w:val="24"/>
        </w:rPr>
        <w:t>WIPO</w:t>
      </w:r>
      <w:r>
        <w:rPr>
          <w:rFonts w:hint="eastAsia" w:ascii="宋体" w:hAnsi="宋体" w:cs="宋体"/>
          <w:kern w:val="0"/>
          <w:sz w:val="24"/>
          <w:szCs w:val="24"/>
        </w:rPr>
        <w:t>中国暑期学校讲师（讲授精神权利部分）；</w:t>
      </w:r>
    </w:p>
    <w:p w14:paraId="04352709">
      <w:pPr>
        <w:widowControl/>
        <w:spacing w:line="36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上海市教委“知识产权法”重点课程（</w:t>
      </w:r>
      <w:r>
        <w:rPr>
          <w:rFonts w:ascii="Times New Roman" w:hAnsi="Times New Roman"/>
          <w:kern w:val="0"/>
          <w:sz w:val="24"/>
          <w:szCs w:val="24"/>
        </w:rPr>
        <w:t>2012</w:t>
      </w:r>
      <w:r>
        <w:rPr>
          <w:rFonts w:hint="eastAsia" w:ascii="宋体" w:hAnsi="宋体" w:cs="宋体"/>
          <w:kern w:val="0"/>
          <w:sz w:val="24"/>
          <w:szCs w:val="24"/>
        </w:rPr>
        <w:t>）第一参与人；</w:t>
      </w:r>
    </w:p>
    <w:p w14:paraId="06272E9C">
      <w:pPr>
        <w:widowControl/>
        <w:spacing w:line="36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上海市教委“国际贸易法”（第五期）重点学科成员；</w:t>
      </w:r>
    </w:p>
    <w:p w14:paraId="2833BBD7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9"/>
          <w:szCs w:val="29"/>
        </w:rPr>
        <w:t>海外经历</w:t>
      </w:r>
    </w:p>
    <w:p w14:paraId="63B9DE2D">
      <w:pPr>
        <w:widowControl/>
        <w:spacing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2012/9-2013/8， 加州大学伯克利分校法学院，访问学者，从事美国知识产权法访问研究。</w:t>
      </w:r>
    </w:p>
    <w:p w14:paraId="6C8D5197">
      <w:pPr>
        <w:widowControl/>
        <w:spacing w:line="360" w:lineRule="atLeas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9"/>
          <w:szCs w:val="29"/>
        </w:rPr>
        <w:t>社会兼职</w:t>
      </w:r>
    </w:p>
    <w:p w14:paraId="0480079E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世界知识产权组织仲裁与调解中心仲裁员、域名争议专家组成员、</w:t>
      </w:r>
      <w:r>
        <w:rPr>
          <w:rFonts w:hint="eastAsia" w:ascii="宋体" w:hAnsi="宋体" w:cs="宋体"/>
          <w:kern w:val="0"/>
          <w:sz w:val="24"/>
          <w:szCs w:val="24"/>
        </w:rPr>
        <w:t>国家中医药管理局传统医药保护重点研究室研究人员；上海市第二中级人民法院特邀调解员、上海市铁路运输法院特邀调解员、上海市杨浦区人民法院特邀咨询专家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3EB0F252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9"/>
          <w:szCs w:val="29"/>
        </w:rPr>
        <w:t>科学研究</w:t>
      </w:r>
    </w:p>
    <w:p w14:paraId="254CF6ED">
      <w:pPr>
        <w:widowControl/>
        <w:spacing w:line="36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科研项目</w:t>
      </w:r>
    </w:p>
    <w:p w14:paraId="08E88F16">
      <w:pPr>
        <w:widowControl/>
        <w:spacing w:line="360" w:lineRule="atLeast"/>
        <w:ind w:firstLine="48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1</w:t>
      </w:r>
      <w:r>
        <w:rPr>
          <w:rFonts w:ascii="宋体" w:hAnsi="宋体" w:cs="宋体"/>
          <w:kern w:val="0"/>
          <w:sz w:val="24"/>
          <w:szCs w:val="24"/>
          <w:highlight w:val="none"/>
        </w:rPr>
        <w:t xml:space="preserve">. 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主持</w:t>
      </w:r>
      <w:r>
        <w:rPr>
          <w:rFonts w:ascii="Times New Roman" w:hAnsi="Times New Roman"/>
          <w:kern w:val="0"/>
          <w:sz w:val="24"/>
          <w:szCs w:val="24"/>
          <w:highlight w:val="none"/>
        </w:rPr>
        <w:t>2022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年国家社科基金青年项目：“数据安全法律域外适用的特殊问题研究”（</w:t>
      </w:r>
      <w:r>
        <w:rPr>
          <w:rFonts w:ascii="Times New Roman" w:hAnsi="Times New Roman"/>
          <w:kern w:val="0"/>
          <w:sz w:val="24"/>
          <w:szCs w:val="24"/>
          <w:highlight w:val="none"/>
        </w:rPr>
        <w:t>22</w:t>
      </w:r>
      <w:r>
        <w:rPr>
          <w:rFonts w:hint="eastAsia" w:ascii="Times New Roman" w:hAnsi="Times New Roman"/>
          <w:kern w:val="0"/>
          <w:sz w:val="24"/>
          <w:szCs w:val="24"/>
          <w:highlight w:val="none"/>
        </w:rPr>
        <w:t>B</w:t>
      </w:r>
      <w:r>
        <w:rPr>
          <w:rFonts w:ascii="Times New Roman" w:hAnsi="Times New Roman"/>
          <w:kern w:val="0"/>
          <w:sz w:val="24"/>
          <w:szCs w:val="24"/>
          <w:highlight w:val="none"/>
        </w:rPr>
        <w:t>FX210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），</w:t>
      </w:r>
      <w:r>
        <w:rPr>
          <w:rFonts w:hint="eastAsia" w:ascii="Times New Roman" w:hAnsi="Times New Roman"/>
          <w:kern w:val="0"/>
          <w:sz w:val="24"/>
          <w:szCs w:val="24"/>
          <w:highlight w:val="none"/>
        </w:rPr>
        <w:t>在研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；</w:t>
      </w:r>
    </w:p>
    <w:p w14:paraId="14A9B259">
      <w:pPr>
        <w:widowControl/>
        <w:spacing w:line="360" w:lineRule="atLeast"/>
        <w:ind w:firstLine="480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2．主持2014年国家社科基金青年项目：“自贸区的知识产权边境制度研究”（14CFX076），2014年6月-2020年12月,已结项；</w:t>
      </w:r>
    </w:p>
    <w:p w14:paraId="4D2BC86A">
      <w:pPr>
        <w:widowControl/>
        <w:spacing w:line="360" w:lineRule="atLeast"/>
        <w:ind w:firstLine="480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3．主持2018年同济大学人文社会科学青年基金项目，“自由贸易港的知识产权海关执法问题研究”，2018年4月-2019年12月；</w:t>
      </w:r>
    </w:p>
    <w:p w14:paraId="23B45A4F">
      <w:pPr>
        <w:widowControl/>
        <w:spacing w:line="360" w:lineRule="atLeast"/>
        <w:ind w:firstLine="480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4．主持2009年上海市“优秀青年教师”专项基金项目：“服务贸易案例个案与比较研究”，2009年6月-2010年12月，评估为“良好”。</w:t>
      </w:r>
    </w:p>
    <w:p w14:paraId="58F94D55">
      <w:pPr>
        <w:widowControl/>
        <w:spacing w:line="360" w:lineRule="atLeast"/>
        <w:ind w:firstLine="480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5．参与许春明主持：2021年国家社科基金重大项目“新形势下我国参与知识产权全球治理的战略研究”，成员。</w:t>
      </w:r>
    </w:p>
    <w:p w14:paraId="6F189E67">
      <w:pPr>
        <w:widowControl/>
        <w:spacing w:line="360" w:lineRule="atLeast"/>
        <w:ind w:firstLine="480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6. 参与宋晓亭主持：2016年国家社科基金重大项目“中医药传统知识保护专门制度研究”，朱雪忠负责子课题三“基于WIPO-IGC共识下的传统知识国际保护现状与经验研究”，骨干成员。</w:t>
      </w:r>
    </w:p>
    <w:p w14:paraId="1E81BE2C">
      <w:pPr>
        <w:widowControl/>
        <w:spacing w:line="360" w:lineRule="atLeast"/>
        <w:ind w:firstLine="480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7．参与上海市人大立法所2016年度项目“上海建设科创中心法制环境研究”，第二参加人。</w:t>
      </w:r>
    </w:p>
    <w:p w14:paraId="72694F0F">
      <w:pPr>
        <w:widowControl/>
        <w:spacing w:line="360" w:lineRule="atLeast"/>
        <w:ind w:firstLine="480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8．参与李墨丝主持：2010年上海市哲学社会科学青年课题“视听服务市场准入法律问题研究”，第二参加人。</w:t>
      </w:r>
    </w:p>
    <w:p w14:paraId="4D0AF1AD">
      <w:pPr>
        <w:widowControl/>
        <w:spacing w:line="360" w:lineRule="atLeast"/>
        <w:ind w:firstLine="480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9．参与陈晶莹主持：2011年上海市政府决策咨询研究专项课题“上海发展创意产业的国际化战略研究”，第一参加人。</w:t>
      </w:r>
    </w:p>
    <w:p w14:paraId="37E6642C">
      <w:pPr>
        <w:widowControl/>
        <w:spacing w:line="360" w:lineRule="atLeast"/>
        <w:ind w:firstLine="480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10．参与冯军主持：2011年上海市政府决策咨询研究专项课题“知识产权争端的国际仲裁研究”，第二参加人。</w:t>
      </w:r>
    </w:p>
    <w:p w14:paraId="1C9DBC29">
      <w:pPr>
        <w:widowControl/>
        <w:spacing w:line="360" w:lineRule="atLeast"/>
        <w:ind w:firstLine="482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出版著作</w:t>
      </w:r>
    </w:p>
    <w:p w14:paraId="6A483201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．专著：《民间文艺的特别知识产权保护：国际立法例及其启示》，法律出版社2011年</w:t>
      </w: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月版。</w:t>
      </w:r>
    </w:p>
    <w:p w14:paraId="6EB34AA5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2．</w:t>
      </w:r>
      <w:r>
        <w:rPr>
          <w:rFonts w:hint="eastAsia" w:ascii="宋体" w:hAnsi="宋体"/>
          <w:kern w:val="0"/>
          <w:sz w:val="24"/>
          <w:szCs w:val="24"/>
        </w:rPr>
        <w:t>参编《</w:t>
      </w:r>
      <w:r>
        <w:rPr>
          <w:rFonts w:ascii="Times New Roman" w:hAnsi="Times New Roman"/>
          <w:kern w:val="0"/>
          <w:sz w:val="24"/>
          <w:szCs w:val="24"/>
        </w:rPr>
        <w:t>WTO</w:t>
      </w:r>
      <w:r>
        <w:rPr>
          <w:rFonts w:hint="eastAsia" w:ascii="宋体" w:hAnsi="宋体"/>
          <w:kern w:val="0"/>
          <w:sz w:val="24"/>
          <w:szCs w:val="24"/>
        </w:rPr>
        <w:t>法律大</w:t>
      </w:r>
      <w:r>
        <w:rPr>
          <w:rFonts w:hint="eastAsia" w:ascii="宋体" w:hAnsi="宋体" w:cs="宋体"/>
          <w:kern w:val="0"/>
          <w:sz w:val="24"/>
          <w:szCs w:val="24"/>
        </w:rPr>
        <w:t>辞典》，</w:t>
      </w:r>
      <w:r>
        <w:rPr>
          <w:rFonts w:hint="eastAsia" w:ascii="宋体" w:hAnsi="宋体"/>
          <w:kern w:val="0"/>
          <w:sz w:val="24"/>
          <w:szCs w:val="24"/>
        </w:rPr>
        <w:t>法律出版社</w:t>
      </w:r>
      <w:r>
        <w:rPr>
          <w:rFonts w:ascii="Times New Roman" w:hAnsi="Times New Roman"/>
          <w:kern w:val="0"/>
          <w:sz w:val="24"/>
          <w:szCs w:val="24"/>
        </w:rPr>
        <w:t>2006</w:t>
      </w:r>
      <w:r>
        <w:rPr>
          <w:rFonts w:hint="eastAsia" w:ascii="宋体" w:hAnsi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</w:rPr>
        <w:t>12月版。</w:t>
      </w:r>
    </w:p>
    <w:p w14:paraId="6F438690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 参与撰写朱榄叶、刘晓红主编：《知识产权法律冲突与解决问题研究》，法律出版社2004年版。</w:t>
      </w:r>
    </w:p>
    <w:p w14:paraId="0C8E2E70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4．参与编辑《国际贸易法论丛》（第4卷），北京大学出版社</w:t>
      </w:r>
      <w:r>
        <w:rPr>
          <w:rFonts w:ascii="Times New Roman" w:hAnsi="Times New Roman"/>
          <w:kern w:val="0"/>
          <w:sz w:val="24"/>
          <w:szCs w:val="24"/>
        </w:rPr>
        <w:t>2010</w:t>
      </w:r>
      <w:r>
        <w:rPr>
          <w:rFonts w:hint="eastAsia" w:ascii="宋体" w:hAnsi="宋体" w:cs="宋体"/>
          <w:kern w:val="0"/>
          <w:sz w:val="24"/>
          <w:szCs w:val="24"/>
        </w:rPr>
        <w:t>年版。</w:t>
      </w:r>
    </w:p>
    <w:p w14:paraId="4B2BE62C">
      <w:pPr>
        <w:widowControl/>
        <w:spacing w:line="435" w:lineRule="atLeast"/>
        <w:ind w:firstLine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598365C">
      <w:pPr>
        <w:widowControl/>
        <w:spacing w:line="435" w:lineRule="atLeast"/>
        <w:ind w:firstLine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代表性论文</w:t>
      </w:r>
    </w:p>
    <w:p w14:paraId="7B6A3FAF">
      <w:pPr>
        <w:widowControl/>
        <w:spacing w:line="435" w:lineRule="atLeast"/>
        <w:ind w:firstLine="480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学术论文：</w:t>
      </w:r>
    </w:p>
    <w:p w14:paraId="3CD1C788">
      <w:pPr>
        <w:widowControl/>
        <w:spacing w:line="420" w:lineRule="atLeast"/>
        <w:ind w:right="15"/>
        <w:jc w:val="left"/>
        <w:rPr>
          <w:rFonts w:ascii="Times New Roman" w:hAnsi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/>
          <w:kern w:val="0"/>
          <w:sz w:val="24"/>
          <w:szCs w:val="24"/>
          <w:highlight w:val="none"/>
        </w:rPr>
        <w:t xml:space="preserve">1, Yang, H &amp; Jiang, L. Regulating neural data processing in the age of BCIs: Ethical concerns and legal approaches. </w:t>
      </w:r>
      <w:r>
        <w:rPr>
          <w:rFonts w:ascii="Times New Roman" w:hAnsi="Times New Roman"/>
          <w:i/>
          <w:iCs/>
          <w:kern w:val="0"/>
          <w:sz w:val="24"/>
          <w:szCs w:val="24"/>
          <w:highlight w:val="none"/>
        </w:rPr>
        <w:t>Digital Health</w:t>
      </w:r>
      <w:r>
        <w:rPr>
          <w:rFonts w:ascii="Times New Roman" w:hAnsi="Times New Roman"/>
          <w:kern w:val="0"/>
          <w:sz w:val="24"/>
          <w:szCs w:val="24"/>
          <w:highlight w:val="none"/>
        </w:rPr>
        <w:t xml:space="preserve">. 2025; 11. doi:10.1177/20552076251326123  (SSCI, Q2; SCI, Q2; PubMed </w:t>
      </w:r>
      <w:r>
        <w:rPr>
          <w:rFonts w:hint="eastAsia" w:ascii="Times New Roman" w:hAnsi="Times New Roman"/>
          <w:kern w:val="0"/>
          <w:sz w:val="24"/>
          <w:szCs w:val="24"/>
          <w:highlight w:val="none"/>
        </w:rPr>
        <w:t>C</w:t>
      </w:r>
      <w:r>
        <w:rPr>
          <w:rFonts w:ascii="Times New Roman" w:hAnsi="Times New Roman"/>
          <w:kern w:val="0"/>
          <w:sz w:val="24"/>
          <w:szCs w:val="24"/>
          <w:highlight w:val="none"/>
        </w:rPr>
        <w:t>ore)</w:t>
      </w:r>
    </w:p>
    <w:p w14:paraId="6E313DD8">
      <w:pPr>
        <w:widowControl/>
        <w:spacing w:line="420" w:lineRule="atLeast"/>
        <w:ind w:right="15"/>
        <w:jc w:val="left"/>
        <w:rPr>
          <w:rFonts w:ascii="Times New Roman" w:hAnsi="Times New Roman"/>
          <w:kern w:val="0"/>
          <w:sz w:val="24"/>
          <w:szCs w:val="24"/>
          <w:highlight w:val="none"/>
        </w:rPr>
      </w:pPr>
      <w:r>
        <w:rPr>
          <w:rFonts w:ascii="宋体" w:hAnsi="宋体" w:cs="宋体"/>
          <w:kern w:val="0"/>
          <w:sz w:val="24"/>
          <w:szCs w:val="24"/>
          <w:highlight w:val="none"/>
        </w:rPr>
        <w:t xml:space="preserve">2, </w:t>
      </w:r>
      <w:r>
        <w:rPr>
          <w:rFonts w:ascii="Times New Roman" w:hAnsi="Times New Roman"/>
          <w:kern w:val="0"/>
          <w:sz w:val="24"/>
          <w:szCs w:val="24"/>
          <w:highlight w:val="none"/>
        </w:rPr>
        <w:t xml:space="preserve">Jiang, </w:t>
      </w:r>
      <w:r>
        <w:rPr>
          <w:rFonts w:hint="eastAsia" w:ascii="Times New Roman" w:hAnsi="Times New Roman"/>
          <w:kern w:val="0"/>
          <w:sz w:val="24"/>
          <w:szCs w:val="24"/>
          <w:highlight w:val="none"/>
        </w:rPr>
        <w:t>L</w:t>
      </w:r>
      <w:r>
        <w:rPr>
          <w:rFonts w:ascii="Times New Roman" w:hAnsi="Times New Roman"/>
          <w:kern w:val="0"/>
          <w:sz w:val="24"/>
          <w:szCs w:val="24"/>
          <w:highlight w:val="none"/>
        </w:rPr>
        <w:t xml:space="preserve">. &amp; Yang, H. Generic Drugs and Innovative Drug Incentives: Early Dispute Resolution Mechanism in China. </w:t>
      </w:r>
      <w:r>
        <w:rPr>
          <w:rFonts w:ascii="Times New Roman" w:hAnsi="Times New Roman"/>
          <w:i/>
          <w:iCs/>
          <w:kern w:val="0"/>
          <w:sz w:val="24"/>
          <w:szCs w:val="24"/>
          <w:highlight w:val="none"/>
        </w:rPr>
        <w:t>Biotechnology and Law Report</w:t>
      </w:r>
      <w:r>
        <w:rPr>
          <w:rFonts w:ascii="Times New Roman" w:hAnsi="Times New Roman"/>
          <w:kern w:val="0"/>
          <w:sz w:val="24"/>
          <w:szCs w:val="24"/>
          <w:highlight w:val="none"/>
        </w:rPr>
        <w:t>. 41:4, 2022. (SCI)</w:t>
      </w:r>
      <w:bookmarkStart w:id="0" w:name="_GoBack"/>
      <w:bookmarkEnd w:id="0"/>
    </w:p>
    <w:p w14:paraId="4FACD205">
      <w:pPr>
        <w:widowControl/>
        <w:spacing w:line="420" w:lineRule="atLeast"/>
        <w:ind w:right="15"/>
        <w:jc w:val="left"/>
        <w:rPr>
          <w:rFonts w:ascii="Times New Roman" w:hAnsi="Times New Roman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/>
          <w:kern w:val="0"/>
          <w:sz w:val="24"/>
          <w:szCs w:val="24"/>
          <w:highlight w:val="none"/>
        </w:rPr>
        <w:t>3</w:t>
      </w:r>
      <w:r>
        <w:rPr>
          <w:rFonts w:ascii="Times New Roman" w:hAnsi="Times New Roman"/>
          <w:kern w:val="0"/>
          <w:sz w:val="24"/>
          <w:szCs w:val="24"/>
          <w:highlight w:val="none"/>
        </w:rPr>
        <w:t>, Yang, H. &amp; Song, H. (2023). Intellectual Property Protection in Free Trade Zones: Main Issues from China’s Perspective in the International Context. In: Zhang, L., Tan, X. (eds) A Chinese Perspective on WTO Reform. Springer, Singapore. (SCOPUS)</w:t>
      </w:r>
    </w:p>
    <w:p w14:paraId="361A1BBA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4. </w:t>
      </w:r>
      <w:r>
        <w:rPr>
          <w:rFonts w:hint="eastAsia" w:ascii="宋体" w:hAnsi="宋体" w:cs="宋体"/>
          <w:kern w:val="0"/>
          <w:sz w:val="24"/>
          <w:szCs w:val="24"/>
        </w:rPr>
        <w:t>杨鸿、陈斌寅：《数据跨境分类分级规制制度及其完善路径》，载刘晓红主编：《“一带一路”法律研究》第4卷，中国政法大学出版社2</w:t>
      </w:r>
      <w:r>
        <w:rPr>
          <w:rFonts w:ascii="宋体" w:hAnsi="宋体" w:cs="宋体"/>
          <w:kern w:val="0"/>
          <w:sz w:val="24"/>
          <w:szCs w:val="24"/>
        </w:rPr>
        <w:t>021</w:t>
      </w:r>
      <w:r>
        <w:rPr>
          <w:rFonts w:hint="eastAsia" w:ascii="宋体" w:hAnsi="宋体" w:cs="宋体"/>
          <w:kern w:val="0"/>
          <w:sz w:val="24"/>
          <w:szCs w:val="24"/>
        </w:rPr>
        <w:t>年版。</w:t>
      </w:r>
    </w:p>
    <w:p w14:paraId="22A691DA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．杨鸿：《主体区分视角下定牌加工侵权认定的合理路径》，载《法学》2</w:t>
      </w:r>
      <w:r>
        <w:rPr>
          <w:rFonts w:ascii="宋体" w:hAnsi="宋体" w:cs="宋体"/>
          <w:kern w:val="0"/>
          <w:sz w:val="24"/>
          <w:szCs w:val="24"/>
        </w:rPr>
        <w:t>021</w:t>
      </w:r>
      <w:r>
        <w:rPr>
          <w:rFonts w:hint="eastAsia" w:ascii="宋体" w:hAnsi="宋体" w:cs="宋体"/>
          <w:kern w:val="0"/>
          <w:sz w:val="24"/>
          <w:szCs w:val="24"/>
        </w:rPr>
        <w:t>年第9期。（C</w:t>
      </w:r>
      <w:r>
        <w:rPr>
          <w:rFonts w:ascii="宋体" w:hAnsi="宋体" w:cs="宋体"/>
          <w:kern w:val="0"/>
          <w:sz w:val="24"/>
          <w:szCs w:val="24"/>
        </w:rPr>
        <w:t>SSCI</w:t>
      </w:r>
      <w:r>
        <w:rPr>
          <w:rFonts w:hint="eastAsia" w:ascii="宋体" w:hAnsi="宋体" w:cs="宋体"/>
          <w:kern w:val="0"/>
          <w:sz w:val="24"/>
          <w:szCs w:val="24"/>
        </w:rPr>
        <w:t>,</w:t>
      </w:r>
      <w:r>
        <w:rPr>
          <w:rFonts w:ascii="宋体" w:hAnsi="宋体" w:cs="宋体"/>
          <w:kern w:val="0"/>
          <w:sz w:val="24"/>
          <w:szCs w:val="24"/>
        </w:rPr>
        <w:t xml:space="preserve"> CLSCI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</w:p>
    <w:p w14:paraId="6B362585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6. </w:t>
      </w:r>
      <w:r>
        <w:rPr>
          <w:rFonts w:hint="eastAsia" w:ascii="宋体" w:hAnsi="宋体" w:cs="宋体"/>
          <w:kern w:val="0"/>
          <w:sz w:val="24"/>
          <w:szCs w:val="24"/>
        </w:rPr>
        <w:t>杨鸿：《自贸试验区知识产权海关执法的特殊问题与制度完善》，载《环球法律评论》2</w:t>
      </w:r>
      <w:r>
        <w:rPr>
          <w:rFonts w:ascii="宋体" w:hAnsi="宋体" w:cs="宋体"/>
          <w:kern w:val="0"/>
          <w:sz w:val="24"/>
          <w:szCs w:val="24"/>
        </w:rPr>
        <w:t>019</w:t>
      </w:r>
      <w:r>
        <w:rPr>
          <w:rFonts w:hint="eastAsia" w:ascii="宋体" w:hAnsi="宋体" w:cs="宋体"/>
          <w:kern w:val="0"/>
          <w:sz w:val="24"/>
          <w:szCs w:val="24"/>
        </w:rPr>
        <w:t>年第2期。(</w:t>
      </w:r>
      <w:r>
        <w:rPr>
          <w:rFonts w:ascii="宋体" w:hAnsi="宋体" w:cs="宋体"/>
          <w:kern w:val="0"/>
          <w:sz w:val="24"/>
          <w:szCs w:val="24"/>
        </w:rPr>
        <w:t>CSSCI,CLSCI)</w:t>
      </w:r>
    </w:p>
    <w:p w14:paraId="174A4A8B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hint="eastAsia" w:ascii="宋体" w:hAnsi="宋体" w:cs="宋体"/>
          <w:kern w:val="0"/>
          <w:sz w:val="24"/>
          <w:szCs w:val="24"/>
        </w:rPr>
        <w:t>．杨鸿：《贸易区域化中知识产权边境执法措施新问题及其应对》，载《环球法律评论》2016年第1期。（CSSCI</w:t>
      </w:r>
      <w:r>
        <w:rPr>
          <w:rFonts w:ascii="宋体" w:hAnsi="宋体" w:cs="宋体"/>
          <w:kern w:val="0"/>
          <w:sz w:val="24"/>
          <w:szCs w:val="24"/>
        </w:rPr>
        <w:t>, CLSCI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</w:p>
    <w:p w14:paraId="181A6747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．杨鸿、高田甜：《过境货物的知识产权边境措施：TRIPS协定下的合规性分析》，载《亚太经济》2013年第4期（CSSCI），吴汉东主编：《知识产权年刊》（2014年卷）转载。</w:t>
      </w:r>
    </w:p>
    <w:p w14:paraId="47F8CBC9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．杨鸿：《反假冒贸易协定知识产权执法规则研究》，载《法商研究》2011年第6期。（CSSCI</w:t>
      </w:r>
      <w:r>
        <w:rPr>
          <w:rFonts w:ascii="宋体" w:hAnsi="宋体" w:cs="宋体"/>
          <w:kern w:val="0"/>
          <w:sz w:val="24"/>
          <w:szCs w:val="24"/>
        </w:rPr>
        <w:t>, CLSCI</w:t>
      </w:r>
      <w:r>
        <w:rPr>
          <w:rFonts w:hint="eastAsia" w:ascii="宋体" w:hAnsi="宋体" w:cs="宋体"/>
          <w:kern w:val="0"/>
          <w:sz w:val="24"/>
          <w:szCs w:val="24"/>
        </w:rPr>
        <w:t>）；</w:t>
      </w:r>
    </w:p>
    <w:p w14:paraId="2EAEB251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hint="eastAsia" w:ascii="宋体" w:hAnsi="宋体" w:cs="宋体"/>
          <w:kern w:val="0"/>
          <w:sz w:val="24"/>
          <w:szCs w:val="24"/>
        </w:rPr>
        <w:t>.杨鸿：《国际知识产权立法的新趋势及其应对：以国际贸易区域化为背景》，载《亚太经济》2011年第6期。（</w:t>
      </w:r>
      <w:r>
        <w:rPr>
          <w:rFonts w:ascii="Times New Roman" w:hAnsi="Times New Roman"/>
          <w:kern w:val="0"/>
          <w:sz w:val="24"/>
          <w:szCs w:val="24"/>
        </w:rPr>
        <w:t>CSSCI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</w:p>
    <w:p w14:paraId="7EFB8E29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11</w:t>
      </w:r>
      <w:r>
        <w:rPr>
          <w:rFonts w:hint="eastAsia" w:ascii="宋体" w:hAnsi="宋体" w:cs="宋体"/>
          <w:kern w:val="0"/>
          <w:sz w:val="24"/>
          <w:szCs w:val="24"/>
        </w:rPr>
        <w:t>．</w:t>
      </w:r>
      <w:r>
        <w:rPr>
          <w:rFonts w:ascii="Times New Roman" w:hAnsi="Times New Roman"/>
          <w:kern w:val="0"/>
          <w:sz w:val="24"/>
          <w:szCs w:val="24"/>
        </w:rPr>
        <w:t>YANG Hong, Business Method Patents for E-Commerce: Development in International Experiences, Implications and Problems, 2011 International Conference on Business Computing and Informatization, DOI:</w:t>
      </w:r>
      <w:r>
        <w:fldChar w:fldCharType="begin"/>
      </w:r>
      <w:r>
        <w:instrText xml:space="preserve"> HYPERLINK "http://dx.doi.org/10.1109/BCGIn.2011.73" </w:instrText>
      </w:r>
      <w:r>
        <w:fldChar w:fldCharType="separate"/>
      </w:r>
      <w:r>
        <w:rPr>
          <w:rFonts w:ascii="Times New Roman" w:hAnsi="Times New Roman"/>
          <w:color w:val="5A5A5A"/>
          <w:kern w:val="0"/>
          <w:sz w:val="24"/>
          <w:szCs w:val="24"/>
          <w:u w:val="single"/>
        </w:rPr>
        <w:t>10.1109/BCGIn.2011.73</w:t>
      </w:r>
      <w:r>
        <w:rPr>
          <w:rFonts w:ascii="Times New Roman" w:hAnsi="Times New Roman"/>
          <w:color w:val="5A5A5A"/>
          <w:kern w:val="0"/>
          <w:sz w:val="24"/>
          <w:szCs w:val="24"/>
          <w:u w:val="single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</w:rPr>
        <w:t>,ISBN:</w:t>
      </w:r>
      <w:r>
        <w:rPr>
          <w:rFonts w:ascii="Times New Roman" w:hAnsi="Times New Roman"/>
          <w:kern w:val="0"/>
          <w:sz w:val="24"/>
          <w:szCs w:val="24"/>
        </w:rPr>
        <w:t>978-1-4577-0788-9</w:t>
      </w:r>
      <w:r>
        <w:rPr>
          <w:rFonts w:hint="eastAsia" w:ascii="宋体" w:hAnsi="宋体" w:cs="宋体"/>
          <w:kern w:val="0"/>
          <w:sz w:val="24"/>
          <w:szCs w:val="24"/>
        </w:rPr>
        <w:t>.（</w:t>
      </w:r>
      <w:r>
        <w:rPr>
          <w:rFonts w:ascii="Times New Roman" w:hAnsi="Times New Roman"/>
          <w:kern w:val="0"/>
          <w:sz w:val="24"/>
          <w:szCs w:val="24"/>
        </w:rPr>
        <w:t>EI indexed, ISTP indexed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</w:p>
    <w:p w14:paraId="1389B8B4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.杨鸿：《美国外资国家安全审查制度的最新改革：对我国的影响评估及其应对》，载《江淮论坛》2009年第5期。（CSSCI）</w:t>
      </w:r>
    </w:p>
    <w:p w14:paraId="257F83F8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13</w:t>
      </w:r>
      <w:r>
        <w:rPr>
          <w:rFonts w:hint="eastAsia" w:ascii="宋体" w:hAnsi="宋体" w:cs="宋体"/>
          <w:kern w:val="0"/>
          <w:sz w:val="24"/>
          <w:szCs w:val="24"/>
        </w:rPr>
        <w:t>．杨鸿：《美国国家安全审查制度对主权基金的监管及其启示》，载《河北法学》2009年第6期。（CSSCI扩展版）</w:t>
      </w:r>
    </w:p>
    <w:p w14:paraId="27F68BE0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14</w:t>
      </w:r>
      <w:r>
        <w:rPr>
          <w:rFonts w:hint="eastAsia" w:ascii="宋体" w:hAnsi="宋体" w:cs="宋体"/>
          <w:kern w:val="0"/>
          <w:sz w:val="24"/>
          <w:szCs w:val="24"/>
        </w:rPr>
        <w:t>．杨鸿：《WTO服务贸易争端的共同问题——界定具体承诺》，载《WTO经济导刊》2007年第9期。</w:t>
      </w:r>
    </w:p>
    <w:p w14:paraId="3860CE7E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15</w:t>
      </w:r>
      <w:r>
        <w:rPr>
          <w:rFonts w:hint="eastAsia" w:ascii="宋体" w:hAnsi="宋体" w:cs="宋体"/>
          <w:kern w:val="0"/>
          <w:sz w:val="24"/>
          <w:szCs w:val="24"/>
        </w:rPr>
        <w:t>.杨鸿：《从集体报复措施的设想看WTO裁决执行促进手段》，载《世界贸易组织动态与研究》2007年第4期。（CSSCI扩展版）</w:t>
      </w:r>
    </w:p>
    <w:p w14:paraId="74DE8180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. 杨鸿：《WTO服务贸易第一案——美墨电信案述评》,载《WTO经济导刊》2006年第9期。</w:t>
      </w:r>
    </w:p>
    <w:p w14:paraId="171B0184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hint="eastAsia" w:ascii="宋体" w:hAnsi="宋体" w:cs="宋体"/>
          <w:kern w:val="0"/>
          <w:sz w:val="24"/>
          <w:szCs w:val="24"/>
        </w:rPr>
        <w:t>．杨鸿：《以知识产权条约为视角看条约对国内私主体的效力》，载《江淮论坛》2005年第1期。（CSSCI）</w:t>
      </w:r>
    </w:p>
    <w:p w14:paraId="0215DBBB">
      <w:pPr>
        <w:widowControl/>
        <w:spacing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．杨鸿：《专利制度与遗传资源、传统知识的法律保护》，载《专利法研究》（2005）。</w:t>
      </w:r>
    </w:p>
    <w:p w14:paraId="1B9B3FF2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．杨鸿：《PPMs问题从GATT到WTO的发展及其遗留问题》，载《世界贸易组织动态与研究》（上海对外贸易学院学报）2005年第11期。（CSSCI扩展版）</w:t>
      </w:r>
    </w:p>
    <w:p w14:paraId="2DF0E46F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．杨鸿：《“美国-巴基斯坦棉纱过渡性保障措施案”专家组报告与上诉机构报告编译》，载朱榄叶：《世界贸易组织国际贸易纠纷案例评析》(1995-2002)（上）,法律出版社2004年版。</w:t>
      </w:r>
    </w:p>
    <w:p w14:paraId="0D7845AD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21</w:t>
      </w:r>
      <w:r>
        <w:rPr>
          <w:rFonts w:hint="eastAsia" w:ascii="宋体" w:hAnsi="宋体" w:cs="宋体"/>
          <w:kern w:val="0"/>
          <w:sz w:val="24"/>
          <w:szCs w:val="24"/>
        </w:rPr>
        <w:t>. 杨鸿：《美国与墨西哥基础电信措施争端专家组报告编译》，载朱榄叶：《世界贸易组织国际贸易纠纷案例评析》（2003-2006），法律出版社2008年版。</w:t>
      </w:r>
    </w:p>
    <w:p w14:paraId="5A15BF09">
      <w:pPr>
        <w:widowControl/>
        <w:spacing w:line="42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22</w:t>
      </w:r>
      <w:r>
        <w:rPr>
          <w:rFonts w:hint="eastAsia" w:ascii="宋体" w:hAnsi="宋体" w:cs="宋体"/>
          <w:kern w:val="0"/>
          <w:sz w:val="24"/>
          <w:szCs w:val="24"/>
        </w:rPr>
        <w:t>．杨鸿：《对我国侵权责任体系的一点思考——试论"物权请求权"制度在我国的演变及其带来的问题》，载《集美大学学报》（哲社版）2004年第12期。</w:t>
      </w:r>
    </w:p>
    <w:p w14:paraId="18A92357">
      <w:pPr>
        <w:widowControl/>
        <w:spacing w:line="36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 w14:paraId="21BE7167">
      <w:pPr>
        <w:widowControl/>
        <w:spacing w:line="36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</w:p>
    <w:p w14:paraId="0F4E9729">
      <w:pPr>
        <w:widowControl/>
        <w:spacing w:line="360" w:lineRule="atLeast"/>
        <w:ind w:right="15"/>
        <w:jc w:val="left"/>
        <w:rPr>
          <w:rFonts w:ascii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报刊文章：</w:t>
      </w:r>
    </w:p>
    <w:p w14:paraId="5509C008">
      <w:pPr>
        <w:widowControl/>
        <w:spacing w:line="360" w:lineRule="atLeast"/>
        <w:ind w:right="1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 xml:space="preserve"> 杨鸿：《公开IP属地的隐私与个人信息法律分析》，载《上海法治报》2</w:t>
      </w:r>
      <w:r>
        <w:rPr>
          <w:rFonts w:ascii="宋体" w:hAnsi="宋体" w:cs="宋体"/>
          <w:kern w:val="0"/>
          <w:sz w:val="24"/>
          <w:szCs w:val="24"/>
        </w:rPr>
        <w:t>022</w:t>
      </w:r>
      <w:r>
        <w:rPr>
          <w:rFonts w:hint="eastAsia" w:ascii="宋体" w:hAnsi="宋体" w:cs="宋体"/>
          <w:kern w:val="0"/>
          <w:sz w:val="24"/>
          <w:szCs w:val="24"/>
        </w:rPr>
        <w:t>年5月2</w:t>
      </w: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hint="eastAsia" w:ascii="宋体" w:hAnsi="宋体" w:cs="宋体"/>
          <w:kern w:val="0"/>
          <w:sz w:val="24"/>
          <w:szCs w:val="24"/>
        </w:rPr>
        <w:t>日第3版。</w:t>
      </w:r>
    </w:p>
    <w:p w14:paraId="3F3C6CFC">
      <w:pPr>
        <w:widowControl/>
        <w:spacing w:line="360" w:lineRule="atLeast"/>
        <w:ind w:right="15"/>
        <w:jc w:val="left"/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hint="eastAsia" w:ascii="宋体" w:hAnsi="宋体" w:cs="宋体"/>
          <w:kern w:val="0"/>
          <w:sz w:val="24"/>
          <w:szCs w:val="24"/>
        </w:rPr>
        <w:t>杨鸿：《RCEP如何赋能数字经济？四个趋势值得关注》，载《文汇》（网络版），2021年1月7日刊。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C"/>
    <w:rsid w:val="000171FC"/>
    <w:rsid w:val="00040610"/>
    <w:rsid w:val="00085160"/>
    <w:rsid w:val="00103627"/>
    <w:rsid w:val="001559A3"/>
    <w:rsid w:val="001D16ED"/>
    <w:rsid w:val="001F0205"/>
    <w:rsid w:val="00222DE1"/>
    <w:rsid w:val="00260898"/>
    <w:rsid w:val="00280651"/>
    <w:rsid w:val="002A35B8"/>
    <w:rsid w:val="002A73BB"/>
    <w:rsid w:val="00347FC6"/>
    <w:rsid w:val="00363C5C"/>
    <w:rsid w:val="004B5019"/>
    <w:rsid w:val="004B5B06"/>
    <w:rsid w:val="004F3F39"/>
    <w:rsid w:val="005014AF"/>
    <w:rsid w:val="00577830"/>
    <w:rsid w:val="005E6B08"/>
    <w:rsid w:val="006341D3"/>
    <w:rsid w:val="006525B2"/>
    <w:rsid w:val="0067766C"/>
    <w:rsid w:val="006B219E"/>
    <w:rsid w:val="007C146B"/>
    <w:rsid w:val="0083005A"/>
    <w:rsid w:val="008405B8"/>
    <w:rsid w:val="00853A37"/>
    <w:rsid w:val="008A6ED7"/>
    <w:rsid w:val="008C3F83"/>
    <w:rsid w:val="00960888"/>
    <w:rsid w:val="0096741A"/>
    <w:rsid w:val="0099779C"/>
    <w:rsid w:val="009D1FE2"/>
    <w:rsid w:val="009F6E1C"/>
    <w:rsid w:val="00A409EA"/>
    <w:rsid w:val="00A55F3F"/>
    <w:rsid w:val="00A7658B"/>
    <w:rsid w:val="00AB4972"/>
    <w:rsid w:val="00B607AD"/>
    <w:rsid w:val="00BC02FD"/>
    <w:rsid w:val="00BC2E20"/>
    <w:rsid w:val="00BD5559"/>
    <w:rsid w:val="00BE4802"/>
    <w:rsid w:val="00D86264"/>
    <w:rsid w:val="00DA5084"/>
    <w:rsid w:val="00DA593B"/>
    <w:rsid w:val="00E833FD"/>
    <w:rsid w:val="00EC0A19"/>
    <w:rsid w:val="00EE30A1"/>
    <w:rsid w:val="00F406B5"/>
    <w:rsid w:val="00F7780D"/>
    <w:rsid w:val="00FE5DF5"/>
    <w:rsid w:val="00FF5209"/>
    <w:rsid w:val="3D0F5F1F"/>
    <w:rsid w:val="602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2403</Words>
  <Characters>3472</Characters>
  <Lines>27</Lines>
  <Paragraphs>7</Paragraphs>
  <TotalTime>26</TotalTime>
  <ScaleCrop>false</ScaleCrop>
  <LinksUpToDate>false</LinksUpToDate>
  <CharactersWithSpaces>3605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2022-06-29T13:09:00Z</dcterms:created>
  <dc:creator>yang hong</dc:creator>
  <cp:lastModifiedBy>李想</cp:lastModifiedBy>
  <dcterms:modified xsi:type="dcterms:W3CDTF">2025-05-06T11:45:49Z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59AEFB8B0CCE4226B87DF8579C67A85E</vt:lpwstr>
  </property>
  <property fmtid="{D5CDD505-2E9C-101B-9397-08002B2CF9AE}" pid="4" name="KSOTemplateDocerSaveRecord">
    <vt:lpwstr>eyJoZGlkIjoiNDcyZDliYmU3OTkxODk5YTkxMzljOGRlMWQ2NzdhYjEiLCJ1c2VySWQiOiIxNjM4MzcwNTEyIn0=</vt:lpwstr>
  </property>
</Properties>
</file>